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CAE3" w14:textId="44D04683" w:rsidR="004451C3" w:rsidRDefault="00416A7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</w:t>
      </w:r>
      <w:r w:rsidR="004451C3"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อกสารแนบ</w:t>
      </w:r>
      <w:r w:rsidR="004451C3"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0" w:name="ประเภทจุดมุ่งเน้นและคำนิยาม"/>
      <w:bookmarkStart w:id="1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0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2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2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lastRenderedPageBreak/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a3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3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4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4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footerReference w:type="default" r:id="rId11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4A4ED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  <w:highlight w:val="cyan"/>
        </w:rPr>
      </w:pPr>
      <w:bookmarkStart w:id="5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5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(</w:t>
      </w:r>
      <w:r w:rsidRPr="004A4EDE">
        <w:rPr>
          <w:rFonts w:ascii="TH SarabunPSK" w:hAnsi="TH SarabunPSK" w:cs="TH SarabunPSK" w:hint="cs"/>
          <w:color w:val="EE0000"/>
          <w:sz w:val="32"/>
          <w:szCs w:val="32"/>
          <w:highlight w:val="cyan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8B5888">
          <w:rPr>
            <w:rStyle w:val="af3"/>
            <w:rFonts w:ascii="TH SarabunPSK" w:hAnsi="TH SarabunPSK" w:cs="TH SarabunPSK"/>
            <w:sz w:val="32"/>
            <w:szCs w:val="32"/>
            <w:highlight w:val="cyan"/>
            <w:cs/>
            <w:lang w:bidi="th-TH"/>
          </w:rPr>
          <w:t>ประเภทผลผลิตที่นำส่งตามจุดมุ่งเน้น</w:t>
        </w:r>
        <w:r w:rsidRPr="008B5888">
          <w:rPr>
            <w:rStyle w:val="af3"/>
            <w:rFonts w:ascii="TH SarabunPSK" w:hAnsi="TH SarabunPSK" w:cs="TH SarabunPSK" w:hint="cs"/>
            <w:sz w:val="32"/>
            <w:szCs w:val="32"/>
            <w:highlight w:val="cyan"/>
            <w:cs/>
            <w:lang w:bidi="th-TH"/>
          </w:rPr>
          <w:t xml:space="preserve"> </w:t>
        </w:r>
      </w:hyperlink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6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6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7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7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8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8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9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9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10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10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11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11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12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12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13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13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14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14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15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15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16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16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17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17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lastRenderedPageBreak/>
              <w:t>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lastRenderedPageBreak/>
              <w:t>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8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ใหม่ หรือนวัตกรรมทางสังคม</w:t>
            </w:r>
            <w:bookmarkEnd w:id="18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19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19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20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1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21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2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22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23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24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24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5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25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6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26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27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28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27"/>
            <w:bookmarkEnd w:id="28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29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30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30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31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31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32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32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33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33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34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34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5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35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36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36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37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37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38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38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D63D855" w14:textId="77777777" w:rsidR="00FE261E" w:rsidRDefault="00FE261E" w:rsidP="00FE261E">
      <w:pPr>
        <w:ind w:left="-284"/>
        <w:rPr>
          <w:rFonts w:ascii="TH SarabunPSK" w:hAnsi="TH SarabunPSK" w:cs="TH SarabunPSK"/>
          <w:b/>
          <w:bCs/>
          <w:sz w:val="32"/>
          <w:szCs w:val="32"/>
          <w:cs/>
        </w:rPr>
        <w:sectPr w:rsidR="00FE261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  <w:bookmarkStart w:id="39" w:name="ประเภทผลลัพธ์ที่นำส่งตามจุดมุ่งเน้น"/>
    </w:p>
    <w:p w14:paraId="1A96A7E6" w14:textId="77777777" w:rsidR="00FE261E" w:rsidRDefault="00FE261E" w:rsidP="00FE261E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7505B7D5" w14:textId="26D027E1" w:rsidR="008B5888" w:rsidRPr="00FE261E" w:rsidRDefault="008B5888" w:rsidP="00FE261E">
      <w:pPr>
        <w:ind w:left="-284"/>
      </w:pPr>
      <w:r w:rsidRPr="00FE261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FE261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261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39"/>
      <w:r w:rsidRPr="00FE261E">
        <w:t xml:space="preserve"> </w:t>
      </w:r>
      <w:r w:rsidRPr="00FE261E">
        <w:rPr>
          <w:rFonts w:ascii="TH SarabunPSK" w:hAnsi="TH SarabunPSK" w:cs="TH SarabunPSK"/>
          <w:sz w:val="32"/>
          <w:szCs w:val="32"/>
        </w:rPr>
        <w:t>(</w:t>
      </w:r>
      <w:r w:rsidRPr="00FE261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FE261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FE261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FE261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2704"/>
        <w:gridCol w:w="1985"/>
        <w:gridCol w:w="1843"/>
        <w:gridCol w:w="1984"/>
        <w:gridCol w:w="1843"/>
        <w:gridCol w:w="1984"/>
        <w:gridCol w:w="1985"/>
      </w:tblGrid>
      <w:tr w:rsidR="008B5888" w:rsidRPr="00FE261E" w14:paraId="6B1E4339" w14:textId="77777777" w:rsidTr="00FE261E">
        <w:trPr>
          <w:tblHeader/>
        </w:trPr>
        <w:tc>
          <w:tcPr>
            <w:tcW w:w="3261" w:type="dxa"/>
            <w:gridSpan w:val="2"/>
          </w:tcPr>
          <w:p w14:paraId="776A5B57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985" w:type="dxa"/>
          </w:tcPr>
          <w:p w14:paraId="463F0746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843" w:type="dxa"/>
          </w:tcPr>
          <w:p w14:paraId="7B06ED34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984" w:type="dxa"/>
          </w:tcPr>
          <w:p w14:paraId="53C6EFDB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843" w:type="dxa"/>
          </w:tcPr>
          <w:p w14:paraId="11EC8A17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984" w:type="dxa"/>
          </w:tcPr>
          <w:p w14:paraId="3A7A4C8D" w14:textId="77777777" w:rsidR="008B5888" w:rsidRPr="00FE261E" w:rsidRDefault="008B5888" w:rsidP="00FE261E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985" w:type="dxa"/>
          </w:tcPr>
          <w:p w14:paraId="00D79FE8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FE261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FE261E" w14:paraId="51BF667B" w14:textId="77777777" w:rsidTr="00FE261E">
        <w:trPr>
          <w:trHeight w:val="20"/>
        </w:trPr>
        <w:tc>
          <w:tcPr>
            <w:tcW w:w="557" w:type="dxa"/>
          </w:tcPr>
          <w:p w14:paraId="0305C78A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2704" w:type="dxa"/>
          </w:tcPr>
          <w:p w14:paraId="0FC4B275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985" w:type="dxa"/>
          </w:tcPr>
          <w:p w14:paraId="07FEE44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588799D5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652562C2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664A9945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56E6E26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28775C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FE261E" w14:paraId="3FB7C064" w14:textId="77777777" w:rsidTr="00FE261E">
        <w:trPr>
          <w:trHeight w:val="20"/>
        </w:trPr>
        <w:tc>
          <w:tcPr>
            <w:tcW w:w="557" w:type="dxa"/>
          </w:tcPr>
          <w:p w14:paraId="36CB6642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2704" w:type="dxa"/>
          </w:tcPr>
          <w:p w14:paraId="341EC932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985" w:type="dxa"/>
          </w:tcPr>
          <w:p w14:paraId="1C19472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0CA66CD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3FD68796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241C596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6E9EFBC4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5" w:type="dxa"/>
          </w:tcPr>
          <w:p w14:paraId="642D7A3F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2E027DDE" w14:textId="77777777" w:rsidTr="00FE261E">
        <w:trPr>
          <w:trHeight w:val="20"/>
        </w:trPr>
        <w:tc>
          <w:tcPr>
            <w:tcW w:w="557" w:type="dxa"/>
          </w:tcPr>
          <w:p w14:paraId="075C9FB0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2704" w:type="dxa"/>
          </w:tcPr>
          <w:p w14:paraId="0766D0DF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985" w:type="dxa"/>
          </w:tcPr>
          <w:p w14:paraId="0E67BBC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C9A8C3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0010CAB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34FBFEF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7582F60F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C268D2B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2002C876" w14:textId="77777777" w:rsidTr="00FE261E">
        <w:trPr>
          <w:trHeight w:val="20"/>
        </w:trPr>
        <w:tc>
          <w:tcPr>
            <w:tcW w:w="557" w:type="dxa"/>
          </w:tcPr>
          <w:p w14:paraId="30A37FEC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2704" w:type="dxa"/>
          </w:tcPr>
          <w:p w14:paraId="0B6F4526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FE261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46BC701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623E49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6A043E7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DDCA2D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3AA203D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47AA46C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709291CF" w14:textId="77777777" w:rsidTr="00FE261E">
        <w:trPr>
          <w:trHeight w:val="20"/>
        </w:trPr>
        <w:tc>
          <w:tcPr>
            <w:tcW w:w="557" w:type="dxa"/>
          </w:tcPr>
          <w:p w14:paraId="25D108D9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2704" w:type="dxa"/>
          </w:tcPr>
          <w:p w14:paraId="5F4D263A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985" w:type="dxa"/>
          </w:tcPr>
          <w:p w14:paraId="2DC05E28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7E8EB4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D96552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B4DEE5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17BD87C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D0DAC2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766FA8A2" w14:textId="77777777" w:rsidTr="00FE261E">
        <w:trPr>
          <w:trHeight w:val="20"/>
        </w:trPr>
        <w:tc>
          <w:tcPr>
            <w:tcW w:w="557" w:type="dxa"/>
          </w:tcPr>
          <w:p w14:paraId="41F0A823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2704" w:type="dxa"/>
          </w:tcPr>
          <w:p w14:paraId="486F1CF5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985" w:type="dxa"/>
          </w:tcPr>
          <w:p w14:paraId="69B6BF77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2DC179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082C4A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3BEA2E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237CD50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7056E9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46A66E3E" w14:textId="77777777" w:rsidTr="00FE261E">
        <w:trPr>
          <w:trHeight w:val="20"/>
        </w:trPr>
        <w:tc>
          <w:tcPr>
            <w:tcW w:w="557" w:type="dxa"/>
          </w:tcPr>
          <w:p w14:paraId="34A547A3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2704" w:type="dxa"/>
          </w:tcPr>
          <w:p w14:paraId="43BA0A90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985" w:type="dxa"/>
          </w:tcPr>
          <w:p w14:paraId="533401B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D31B2C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6A5319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A6C8D3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172D152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5" w:type="dxa"/>
          </w:tcPr>
          <w:p w14:paraId="6CD51C2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FE261E" w14:paraId="4074FB20" w14:textId="77777777" w:rsidTr="00FE261E">
        <w:trPr>
          <w:trHeight w:val="20"/>
        </w:trPr>
        <w:tc>
          <w:tcPr>
            <w:tcW w:w="557" w:type="dxa"/>
          </w:tcPr>
          <w:p w14:paraId="79E02B71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2704" w:type="dxa"/>
          </w:tcPr>
          <w:p w14:paraId="27EF95F9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985" w:type="dxa"/>
          </w:tcPr>
          <w:p w14:paraId="2D59381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2CA956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0D1E38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F12E02D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222EFD4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5" w:type="dxa"/>
          </w:tcPr>
          <w:p w14:paraId="7FB7925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FE261E" w14:paraId="71C4C1A8" w14:textId="77777777" w:rsidTr="00FE261E">
        <w:trPr>
          <w:trHeight w:val="20"/>
        </w:trPr>
        <w:tc>
          <w:tcPr>
            <w:tcW w:w="557" w:type="dxa"/>
          </w:tcPr>
          <w:p w14:paraId="62D2E266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lastRenderedPageBreak/>
              <w:t>Q9</w:t>
            </w:r>
          </w:p>
        </w:tc>
        <w:tc>
          <w:tcPr>
            <w:tcW w:w="2704" w:type="dxa"/>
          </w:tcPr>
          <w:p w14:paraId="4F4452D9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FE261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985" w:type="dxa"/>
          </w:tcPr>
          <w:p w14:paraId="0B2B28F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CF9FA4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652C1F7B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8C0A7C5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1F1149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8AFF7DD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5C7B7F58" w14:textId="77777777" w:rsidTr="00FE261E">
        <w:trPr>
          <w:trHeight w:val="20"/>
        </w:trPr>
        <w:tc>
          <w:tcPr>
            <w:tcW w:w="557" w:type="dxa"/>
          </w:tcPr>
          <w:p w14:paraId="24464B36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2704" w:type="dxa"/>
          </w:tcPr>
          <w:p w14:paraId="37C00FCA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985" w:type="dxa"/>
          </w:tcPr>
          <w:p w14:paraId="5E2A828F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FDFA16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613FFD7A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EC2455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743ACA1C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E68907B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70CCFE5D" w14:textId="77777777" w:rsidTr="00FE261E">
        <w:trPr>
          <w:trHeight w:val="20"/>
        </w:trPr>
        <w:tc>
          <w:tcPr>
            <w:tcW w:w="557" w:type="dxa"/>
          </w:tcPr>
          <w:p w14:paraId="08D149CF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2704" w:type="dxa"/>
          </w:tcPr>
          <w:p w14:paraId="600940D2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985" w:type="dxa"/>
          </w:tcPr>
          <w:p w14:paraId="5E08A216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0C3F121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6AA6C07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1A33997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4892143C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5" w:type="dxa"/>
          </w:tcPr>
          <w:p w14:paraId="271F24A1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FE261E" w14:paraId="5E794BD5" w14:textId="77777777" w:rsidTr="00FE261E">
        <w:trPr>
          <w:trHeight w:val="20"/>
        </w:trPr>
        <w:tc>
          <w:tcPr>
            <w:tcW w:w="557" w:type="dxa"/>
          </w:tcPr>
          <w:p w14:paraId="034739BD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2704" w:type="dxa"/>
          </w:tcPr>
          <w:p w14:paraId="5E7EB630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985" w:type="dxa"/>
          </w:tcPr>
          <w:p w14:paraId="3E2047ED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77741C92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3C790633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09EFA16E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4" w:type="dxa"/>
          </w:tcPr>
          <w:p w14:paraId="4910B6B4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985" w:type="dxa"/>
          </w:tcPr>
          <w:p w14:paraId="213DE4A5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14:paraId="795EB3DF" w14:textId="77777777" w:rsidTr="00FE261E">
        <w:trPr>
          <w:trHeight w:val="20"/>
        </w:trPr>
        <w:tc>
          <w:tcPr>
            <w:tcW w:w="557" w:type="dxa"/>
          </w:tcPr>
          <w:p w14:paraId="6E5F0590" w14:textId="77777777" w:rsidR="008B5888" w:rsidRPr="00FE261E" w:rsidRDefault="008B5888" w:rsidP="00FE261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2704" w:type="dxa"/>
          </w:tcPr>
          <w:p w14:paraId="4E6567B0" w14:textId="77777777" w:rsidR="008B5888" w:rsidRPr="00FE261E" w:rsidRDefault="008B5888" w:rsidP="00FE261E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985" w:type="dxa"/>
          </w:tcPr>
          <w:p w14:paraId="2347A6E0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ED9B459" w14:textId="77777777" w:rsidR="008B5888" w:rsidRPr="00FE261E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50E86D0F" w14:textId="77777777" w:rsidR="008B5888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261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843" w:type="dxa"/>
          </w:tcPr>
          <w:p w14:paraId="7FACB129" w14:textId="77777777" w:rsidR="008B5888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F15747F" w14:textId="77777777" w:rsidR="008B5888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522F6B1" w14:textId="77777777" w:rsidR="008B5888" w:rsidRDefault="008B5888" w:rsidP="00FE26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Default="008B5888" w:rsidP="00FE2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Sect="00FE261E">
          <w:pgSz w:w="16838" w:h="11906" w:orient="landscape"/>
          <w:pgMar w:top="992" w:right="992" w:bottom="1440" w:left="1349" w:header="709" w:footer="284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40" w:name="ระดับความพร้อมทางเทคโนโลยี"/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40"/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41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41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4692" w14:textId="77777777" w:rsidR="000B6AEE" w:rsidRDefault="000B6AEE" w:rsidP="00AE1EEF">
      <w:pPr>
        <w:spacing w:after="0" w:line="240" w:lineRule="auto"/>
      </w:pPr>
      <w:r>
        <w:separator/>
      </w:r>
    </w:p>
  </w:endnote>
  <w:endnote w:type="continuationSeparator" w:id="0">
    <w:p w14:paraId="08BEC08C" w14:textId="77777777" w:rsidR="000B6AEE" w:rsidRDefault="000B6AEE" w:rsidP="00AE1EEF">
      <w:pPr>
        <w:spacing w:after="0" w:line="240" w:lineRule="auto"/>
      </w:pPr>
      <w:r>
        <w:continuationSeparator/>
      </w:r>
    </w:p>
  </w:endnote>
  <w:endnote w:type="continuationNotice" w:id="1">
    <w:p w14:paraId="65250824" w14:textId="77777777" w:rsidR="000B6AEE" w:rsidRDefault="000B6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65C3" w14:textId="77777777" w:rsidR="000B6AEE" w:rsidRDefault="000B6AEE" w:rsidP="00AE1EEF">
      <w:pPr>
        <w:spacing w:after="0" w:line="240" w:lineRule="auto"/>
      </w:pPr>
      <w:r>
        <w:separator/>
      </w:r>
    </w:p>
  </w:footnote>
  <w:footnote w:type="continuationSeparator" w:id="0">
    <w:p w14:paraId="0E297178" w14:textId="77777777" w:rsidR="000B6AEE" w:rsidRDefault="000B6AEE" w:rsidP="00AE1EEF">
      <w:pPr>
        <w:spacing w:after="0" w:line="240" w:lineRule="auto"/>
      </w:pPr>
      <w:r>
        <w:continuationSeparator/>
      </w:r>
    </w:p>
  </w:footnote>
  <w:footnote w:type="continuationNotice" w:id="1">
    <w:p w14:paraId="0AD7DCB0" w14:textId="77777777" w:rsidR="000B6AEE" w:rsidRDefault="000B6A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6AEE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6A73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EF2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4652B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095A"/>
    <w:rsid w:val="00E84579"/>
    <w:rsid w:val="00E8678B"/>
    <w:rsid w:val="00E86AAD"/>
    <w:rsid w:val="00E8729B"/>
    <w:rsid w:val="00E872E0"/>
    <w:rsid w:val="00E9200C"/>
    <w:rsid w:val="00E93C91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261E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1-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11082</Words>
  <Characters>56740</Characters>
  <Application>Microsoft Office Word</Application>
  <DocSecurity>0</DocSecurity>
  <Lines>2466</Lines>
  <Paragraphs>1130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66692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สำนักงานโรงเรียนพระปริยัติธรรม วัดปทุมคงคา</cp:lastModifiedBy>
  <cp:revision>3</cp:revision>
  <cp:lastPrinted>2025-07-16T01:48:00Z</cp:lastPrinted>
  <dcterms:created xsi:type="dcterms:W3CDTF">2026-06-05T08:42:00Z</dcterms:created>
  <dcterms:modified xsi:type="dcterms:W3CDTF">2026-06-05T08:43:00Z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